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B" w:rsidRDefault="0005183B" w:rsidP="00051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43.15pt;margin-top:-38.7pt;width:130.9pt;height:40.7pt;z-index:251660288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05183B" w:rsidRPr="009E7D99" w:rsidRDefault="0005183B" w:rsidP="0005183B">
                  <w:pPr>
                    <w:jc w:val="center"/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Pr="00BA4223">
                    <w:rPr>
                      <w:rFonts w:ascii="Eras Demi ITC" w:hAnsi="Eras Demi ITC"/>
                      <w:sz w:val="40"/>
                      <w:szCs w:val="40"/>
                    </w:rPr>
                    <w:t xml:space="preserve"> </w:t>
                  </w:r>
                  <w:r w:rsidRPr="00266ACC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pt;height:12.75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05183B" w:rsidRPr="00F3733D" w:rsidRDefault="0005183B" w:rsidP="0005183B">
      <w:pPr>
        <w:rPr>
          <w:rFonts w:ascii="Times New Roman" w:hAnsi="Times New Roman" w:cs="Times New Roman"/>
          <w:b/>
          <w:sz w:val="28"/>
          <w:szCs w:val="28"/>
        </w:rPr>
      </w:pPr>
      <w:r w:rsidRPr="00F3733D">
        <w:rPr>
          <w:rFonts w:ascii="Times New Roman" w:hAnsi="Times New Roman" w:cs="Times New Roman"/>
          <w:b/>
          <w:sz w:val="28"/>
          <w:szCs w:val="28"/>
        </w:rPr>
        <w:t xml:space="preserve">Brief activity report of IAP </w:t>
      </w:r>
      <w:r w:rsidRPr="00F3733D">
        <w:rPr>
          <w:rFonts w:ascii="Times New Roman" w:hAnsi="Times New Roman" w:cs="Times New Roman"/>
          <w:b/>
          <w:bCs/>
          <w:sz w:val="28"/>
          <w:szCs w:val="28"/>
        </w:rPr>
        <w:t>Advisory Committee for Vaccines &amp;</w:t>
      </w:r>
      <w:r w:rsidR="00F37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33D">
        <w:rPr>
          <w:rFonts w:ascii="Times New Roman" w:hAnsi="Times New Roman" w:cs="Times New Roman"/>
          <w:b/>
          <w:bCs/>
          <w:sz w:val="28"/>
          <w:szCs w:val="28"/>
        </w:rPr>
        <w:t>Immunization Practices (</w:t>
      </w:r>
      <w:r w:rsidRPr="00F3733D">
        <w:rPr>
          <w:rFonts w:ascii="Times New Roman" w:hAnsi="Times New Roman" w:cs="Times New Roman"/>
          <w:b/>
          <w:sz w:val="28"/>
          <w:szCs w:val="28"/>
        </w:rPr>
        <w:t>ACVIP)</w:t>
      </w:r>
      <w:r w:rsidR="00F3733D"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Pr="00F3733D">
        <w:rPr>
          <w:rFonts w:ascii="Times New Roman" w:hAnsi="Times New Roman" w:cs="Times New Roman"/>
          <w:b/>
          <w:sz w:val="28"/>
          <w:szCs w:val="28"/>
        </w:rPr>
        <w:t>January 2014-May 2014</w:t>
      </w:r>
    </w:p>
    <w:p w:rsidR="0005183B" w:rsidRDefault="0005183B" w:rsidP="0005183B">
      <w:pPr>
        <w:rPr>
          <w:rFonts w:ascii="Times New Roman" w:hAnsi="Times New Roman" w:cs="Times New Roman"/>
          <w:b/>
          <w:sz w:val="24"/>
          <w:szCs w:val="24"/>
        </w:rPr>
      </w:pPr>
    </w:p>
    <w:p w:rsidR="0005183B" w:rsidRPr="0005183B" w:rsidRDefault="0005183B" w:rsidP="0005183B">
      <w:pPr>
        <w:rPr>
          <w:rFonts w:ascii="Times New Roman" w:hAnsi="Times New Roman" w:cs="Times New Roman"/>
          <w:sz w:val="24"/>
          <w:szCs w:val="24"/>
        </w:rPr>
      </w:pPr>
      <w:r w:rsidRPr="0005183B">
        <w:rPr>
          <w:rFonts w:ascii="Times New Roman" w:hAnsi="Times New Roman" w:cs="Times New Roman"/>
          <w:sz w:val="24"/>
          <w:szCs w:val="24"/>
        </w:rPr>
        <w:t xml:space="preserve">Following is the list of activities conducted this year by the committee so far: </w:t>
      </w:r>
    </w:p>
    <w:p w:rsidR="0005183B" w:rsidRPr="00BB30EA" w:rsidRDefault="0005183B" w:rsidP="0005183B">
      <w:pPr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Meeting:</w:t>
      </w:r>
    </w:p>
    <w:p w:rsidR="0005183B" w:rsidRDefault="0005183B" w:rsidP="0005183B">
      <w:p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The committee had organized </w:t>
      </w:r>
      <w:r w:rsidR="00032583">
        <w:rPr>
          <w:rFonts w:ascii="Times New Roman" w:hAnsi="Times New Roman" w:cs="Times New Roman"/>
        </w:rPr>
        <w:t xml:space="preserve">the first meeting of the year on April 19 &amp; 20 at India Habitat center, New Delhi. The minutes of the meeting are contained in Appendix 1. </w:t>
      </w:r>
    </w:p>
    <w:p w:rsidR="0005183B" w:rsidRPr="00BB30EA" w:rsidRDefault="0005183B" w:rsidP="0005183B">
      <w:pPr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Publications:</w:t>
      </w:r>
    </w:p>
    <w:p w:rsidR="0005183B" w:rsidRPr="00BB30EA" w:rsidRDefault="0005183B" w:rsidP="00051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  <w:b/>
          <w:i/>
        </w:rPr>
        <w:t>Position papers:</w:t>
      </w:r>
    </w:p>
    <w:p w:rsidR="00032583" w:rsidRDefault="00032583" w:rsidP="00032583">
      <w:pPr>
        <w:pStyle w:val="ListParagraph"/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ACVIP </w:t>
      </w:r>
      <w:r>
        <w:rPr>
          <w:rFonts w:ascii="Times New Roman" w:hAnsi="Times New Roman" w:cs="Times New Roman"/>
        </w:rPr>
        <w:t xml:space="preserve">has started working on the following position papers: </w:t>
      </w:r>
    </w:p>
    <w:p w:rsidR="00032583" w:rsidRDefault="00032583" w:rsidP="000325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Measles &amp; Rubella Initiative: IAP’s perspective</w:t>
      </w:r>
    </w:p>
    <w:p w:rsidR="00032583" w:rsidRDefault="00032583" w:rsidP="000325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Typhoid vaccines</w:t>
      </w:r>
    </w:p>
    <w:p w:rsidR="00032583" w:rsidRDefault="00032583" w:rsidP="000325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Rabies</w:t>
      </w:r>
    </w:p>
    <w:p w:rsidR="00032583" w:rsidRDefault="00032583" w:rsidP="000325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Mumps</w:t>
      </w:r>
    </w:p>
    <w:p w:rsidR="00032583" w:rsidRPr="00032583" w:rsidRDefault="00032583" w:rsidP="00032583">
      <w:pPr>
        <w:rPr>
          <w:rFonts w:ascii="Times New Roman" w:hAnsi="Times New Roman" w:cs="Times New Roman"/>
        </w:rPr>
      </w:pPr>
      <w:r w:rsidRPr="00032583">
        <w:rPr>
          <w:rFonts w:ascii="Times New Roman" w:hAnsi="Times New Roman" w:cs="Times New Roman"/>
        </w:rPr>
        <w:t>They are in different states of completion. The draft of the paper, “IAP’s perspective</w:t>
      </w:r>
      <w:r>
        <w:rPr>
          <w:rFonts w:ascii="Times New Roman" w:hAnsi="Times New Roman" w:cs="Times New Roman"/>
        </w:rPr>
        <w:t xml:space="preserve"> on </w:t>
      </w:r>
      <w:r w:rsidRPr="00032583">
        <w:rPr>
          <w:rFonts w:ascii="Times New Roman" w:hAnsi="Times New Roman" w:cs="Times New Roman"/>
        </w:rPr>
        <w:t>Measles &amp; Rubella Initiative</w:t>
      </w:r>
      <w:r>
        <w:rPr>
          <w:rFonts w:ascii="Times New Roman" w:hAnsi="Times New Roman" w:cs="Times New Roman"/>
        </w:rPr>
        <w:t xml:space="preserve">” needs approval of EB to process further (Appendix 2). </w:t>
      </w:r>
      <w:r w:rsidRPr="00032583">
        <w:rPr>
          <w:rFonts w:ascii="Times New Roman" w:hAnsi="Times New Roman" w:cs="Times New Roman"/>
        </w:rPr>
        <w:t xml:space="preserve"> </w:t>
      </w:r>
    </w:p>
    <w:p w:rsidR="0005183B" w:rsidRPr="00BB30EA" w:rsidRDefault="0005183B" w:rsidP="00051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  <w:b/>
          <w:i/>
        </w:rPr>
        <w:t xml:space="preserve">Books: </w:t>
      </w:r>
    </w:p>
    <w:p w:rsidR="0005183B" w:rsidRDefault="0005183B" w:rsidP="0005183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IAP Guidebook on Immunization 2013</w:t>
      </w:r>
      <w:r w:rsidR="00032583">
        <w:rPr>
          <w:rFonts w:ascii="Times New Roman" w:hAnsi="Times New Roman" w:cs="Times New Roman"/>
        </w:rPr>
        <w:t>-14</w:t>
      </w:r>
      <w:r w:rsidRPr="00BB30EA">
        <w:rPr>
          <w:rFonts w:ascii="Times New Roman" w:hAnsi="Times New Roman" w:cs="Times New Roman"/>
        </w:rPr>
        <w:t xml:space="preserve">: </w:t>
      </w:r>
      <w:r w:rsidR="00032583">
        <w:rPr>
          <w:rFonts w:ascii="Times New Roman" w:hAnsi="Times New Roman" w:cs="Times New Roman"/>
        </w:rPr>
        <w:t xml:space="preserve">posting of the books to IAP branches has started from Agra. </w:t>
      </w:r>
      <w:r w:rsidR="004A46FE">
        <w:rPr>
          <w:rFonts w:ascii="Times New Roman" w:hAnsi="Times New Roman" w:cs="Times New Roman"/>
        </w:rPr>
        <w:t xml:space="preserve">20,000 copies shall be distributed to each member through different branches. Dr CP Bansal is in charge of the project and supervising smooth delivery of the same through IPH Gwalior. </w:t>
      </w:r>
    </w:p>
    <w:p w:rsidR="004A46FE" w:rsidRPr="00BB30EA" w:rsidRDefault="004A46FE" w:rsidP="00F3733D">
      <w:pPr>
        <w:pStyle w:val="ListParagraph"/>
        <w:ind w:left="1440"/>
        <w:rPr>
          <w:rFonts w:ascii="Times New Roman" w:hAnsi="Times New Roman" w:cs="Times New Roman"/>
        </w:rPr>
      </w:pPr>
    </w:p>
    <w:p w:rsidR="0005183B" w:rsidRPr="00BB30EA" w:rsidRDefault="0005183B" w:rsidP="0005183B">
      <w:pPr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IAP Immunization Timetable 201</w:t>
      </w:r>
      <w:r w:rsidR="00F3733D">
        <w:rPr>
          <w:rFonts w:ascii="Times New Roman" w:hAnsi="Times New Roman" w:cs="Times New Roman"/>
          <w:b/>
        </w:rPr>
        <w:t>4</w:t>
      </w:r>
    </w:p>
    <w:p w:rsidR="00813A17" w:rsidRPr="00813A17" w:rsidRDefault="0005183B" w:rsidP="00813A17">
      <w:pPr>
        <w:pStyle w:val="ListParagraph"/>
        <w:numPr>
          <w:ilvl w:val="0"/>
          <w:numId w:val="1"/>
        </w:numPr>
        <w:ind w:left="765"/>
        <w:rPr>
          <w:rFonts w:ascii="Times New Roman" w:hAnsi="Times New Roman" w:cs="Times New Roman"/>
          <w:b/>
        </w:rPr>
      </w:pPr>
      <w:r w:rsidRPr="00813A17">
        <w:rPr>
          <w:rFonts w:ascii="Times New Roman" w:hAnsi="Times New Roman" w:cs="Times New Roman"/>
        </w:rPr>
        <w:t xml:space="preserve">The new schedule </w:t>
      </w:r>
      <w:r w:rsidR="00813A17" w:rsidRPr="00813A17">
        <w:rPr>
          <w:rFonts w:ascii="Times New Roman" w:hAnsi="Times New Roman" w:cs="Times New Roman"/>
        </w:rPr>
        <w:t xml:space="preserve">for the year 2014 is under process of formation. Soon it will be shared with IAP OBs and EB before publication in IP. </w:t>
      </w:r>
    </w:p>
    <w:p w:rsidR="00813A17" w:rsidRPr="00813A17" w:rsidRDefault="0005183B" w:rsidP="00813A17">
      <w:pPr>
        <w:pStyle w:val="ListParagraph"/>
        <w:numPr>
          <w:ilvl w:val="0"/>
          <w:numId w:val="1"/>
        </w:numPr>
        <w:ind w:left="765"/>
        <w:rPr>
          <w:rFonts w:ascii="Times New Roman" w:hAnsi="Times New Roman" w:cs="Times New Roman"/>
          <w:b/>
        </w:rPr>
      </w:pPr>
      <w:r w:rsidRPr="00813A17">
        <w:rPr>
          <w:rFonts w:ascii="Times New Roman" w:hAnsi="Times New Roman" w:cs="Times New Roman"/>
          <w:b/>
          <w:i/>
        </w:rPr>
        <w:t>New Apps on IAP Immunization 2013</w:t>
      </w:r>
      <w:r w:rsidRPr="00813A17">
        <w:rPr>
          <w:rFonts w:ascii="Times New Roman" w:hAnsi="Times New Roman" w:cs="Times New Roman"/>
        </w:rPr>
        <w:t xml:space="preserve"> </w:t>
      </w:r>
      <w:r w:rsidR="00813A17" w:rsidRPr="00813A17">
        <w:rPr>
          <w:rFonts w:ascii="Times New Roman" w:hAnsi="Times New Roman" w:cs="Times New Roman"/>
        </w:rPr>
        <w:t xml:space="preserve">are now available online for both the platforms, i.e. </w:t>
      </w:r>
      <w:r w:rsidRPr="00813A17">
        <w:rPr>
          <w:rFonts w:ascii="Times New Roman" w:hAnsi="Times New Roman" w:cs="Times New Roman"/>
        </w:rPr>
        <w:t xml:space="preserve">Android &amp; </w:t>
      </w:r>
      <w:proofErr w:type="spellStart"/>
      <w:r w:rsidR="00813A17" w:rsidRPr="00813A17">
        <w:rPr>
          <w:rFonts w:ascii="Times New Roman" w:hAnsi="Times New Roman" w:cs="Times New Roman"/>
        </w:rPr>
        <w:t>i</w:t>
      </w:r>
      <w:r w:rsidRPr="00813A17">
        <w:rPr>
          <w:rFonts w:ascii="Times New Roman" w:hAnsi="Times New Roman" w:cs="Times New Roman"/>
        </w:rPr>
        <w:t>OS</w:t>
      </w:r>
      <w:proofErr w:type="spellEnd"/>
      <w:r w:rsidRPr="00813A17">
        <w:rPr>
          <w:rFonts w:ascii="Times New Roman" w:hAnsi="Times New Roman" w:cs="Times New Roman"/>
        </w:rPr>
        <w:t xml:space="preserve">. </w:t>
      </w:r>
    </w:p>
    <w:p w:rsidR="00813A17" w:rsidRDefault="00813A17" w:rsidP="00813A17">
      <w:pPr>
        <w:pStyle w:val="ListParagraph"/>
        <w:ind w:left="765"/>
        <w:rPr>
          <w:rFonts w:ascii="Times New Roman" w:hAnsi="Times New Roman" w:cs="Times New Roman"/>
          <w:b/>
        </w:rPr>
      </w:pPr>
    </w:p>
    <w:p w:rsidR="0005183B" w:rsidRPr="00BB30EA" w:rsidRDefault="0005183B" w:rsidP="0005183B">
      <w:pPr>
        <w:ind w:firstLine="45"/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Representation to various meetings:</w:t>
      </w:r>
    </w:p>
    <w:p w:rsidR="0005183B" w:rsidRPr="00BB30EA" w:rsidRDefault="0005183B" w:rsidP="0005183B">
      <w:p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Office bearers of ACVIP also participated in </w:t>
      </w:r>
      <w:r w:rsidR="00813A17">
        <w:rPr>
          <w:rFonts w:ascii="Times New Roman" w:hAnsi="Times New Roman" w:cs="Times New Roman"/>
        </w:rPr>
        <w:t xml:space="preserve">some </w:t>
      </w:r>
      <w:r w:rsidRPr="00BB30EA">
        <w:rPr>
          <w:rFonts w:ascii="Times New Roman" w:hAnsi="Times New Roman" w:cs="Times New Roman"/>
        </w:rPr>
        <w:t>various important meetings related to pediatric vaccination. Some of the key meetings include the following:</w:t>
      </w:r>
    </w:p>
    <w:p w:rsidR="00813A17" w:rsidRDefault="0005183B" w:rsidP="00051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3A17">
        <w:rPr>
          <w:rFonts w:ascii="Times New Roman" w:hAnsi="Times New Roman" w:cs="Times New Roman"/>
        </w:rPr>
        <w:lastRenderedPageBreak/>
        <w:t xml:space="preserve">STSC of NTAGI: New Delhi, </w:t>
      </w:r>
      <w:r w:rsidR="00813A17" w:rsidRPr="00813A17">
        <w:rPr>
          <w:rFonts w:ascii="Times New Roman" w:hAnsi="Times New Roman" w:cs="Times New Roman"/>
        </w:rPr>
        <w:t xml:space="preserve">February 26, 2014: The convener of the committee participated and delivered a </w:t>
      </w:r>
      <w:proofErr w:type="spellStart"/>
      <w:r w:rsidR="00813A17" w:rsidRPr="00813A17">
        <w:rPr>
          <w:rFonts w:ascii="Times New Roman" w:hAnsi="Times New Roman" w:cs="Times New Roman"/>
        </w:rPr>
        <w:t>ppt</w:t>
      </w:r>
      <w:proofErr w:type="spellEnd"/>
      <w:r w:rsidR="00813A17" w:rsidRPr="00813A17">
        <w:rPr>
          <w:rFonts w:ascii="Times New Roman" w:hAnsi="Times New Roman" w:cs="Times New Roman"/>
        </w:rPr>
        <w:t xml:space="preserve"> on IAP Perspectives on Measles &amp; rubella Initiative</w:t>
      </w:r>
      <w:r w:rsidR="0006202A">
        <w:rPr>
          <w:rFonts w:ascii="Times New Roman" w:hAnsi="Times New Roman" w:cs="Times New Roman"/>
        </w:rPr>
        <w:t xml:space="preserve"> at ICMR HQ in New Delhi. </w:t>
      </w:r>
      <w:r w:rsidR="00813A17" w:rsidRPr="00813A17">
        <w:rPr>
          <w:rFonts w:ascii="Times New Roman" w:hAnsi="Times New Roman" w:cs="Times New Roman"/>
        </w:rPr>
        <w:t xml:space="preserve"> </w:t>
      </w:r>
    </w:p>
    <w:p w:rsidR="00813A17" w:rsidRDefault="0006202A" w:rsidP="00051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6202A">
        <w:rPr>
          <w:rFonts w:ascii="Times New Roman" w:hAnsi="Times New Roman" w:cs="Times New Roman"/>
        </w:rPr>
        <w:t>ational AEFI Committee meeting</w:t>
      </w:r>
      <w:r>
        <w:rPr>
          <w:rFonts w:ascii="Times New Roman" w:hAnsi="Times New Roman" w:cs="Times New Roman"/>
        </w:rPr>
        <w:t xml:space="preserve">, New Delhi, </w:t>
      </w:r>
      <w:r w:rsidRPr="0006202A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19, </w:t>
      </w:r>
      <w:r w:rsidRPr="0006202A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: Dr Panna Choudhury participated in the meeting as an IAP expert. </w:t>
      </w:r>
    </w:p>
    <w:p w:rsidR="0005183B" w:rsidRPr="00DA5DEB" w:rsidRDefault="0005183B" w:rsidP="0005183B">
      <w:pPr>
        <w:rPr>
          <w:rFonts w:ascii="Times New Roman" w:hAnsi="Times New Roman" w:cs="Times New Roman"/>
          <w:b/>
        </w:rPr>
      </w:pPr>
      <w:r w:rsidRPr="00DA5DEB">
        <w:rPr>
          <w:rFonts w:ascii="Times New Roman" w:hAnsi="Times New Roman" w:cs="Times New Roman"/>
          <w:b/>
        </w:rPr>
        <w:t>EBR process:</w:t>
      </w:r>
    </w:p>
    <w:p w:rsidR="0006202A" w:rsidRDefault="0005183B" w:rsidP="0005183B">
      <w:pPr>
        <w:rPr>
          <w:rFonts w:ascii="Times New Roman" w:eastAsia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IAP ACVIP is pursuing the process of issuing recommendations on Evidence Based process. </w:t>
      </w:r>
      <w:r w:rsidR="0006202A">
        <w:rPr>
          <w:rFonts w:ascii="Times New Roman" w:hAnsi="Times New Roman" w:cs="Times New Roman"/>
        </w:rPr>
        <w:t xml:space="preserve">The </w:t>
      </w:r>
      <w:r w:rsidRPr="00E77DFF"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</w:rPr>
        <w:t>WG (work group)</w:t>
      </w:r>
      <w:r w:rsidRPr="00E77DFF"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 w:rsidRPr="00E77DFF">
        <w:rPr>
          <w:rFonts w:ascii="Times New Roman" w:eastAsia="Times New Roman" w:hAnsi="Times New Roman" w:cs="Times New Roman"/>
        </w:rPr>
        <w:t xml:space="preserve"> EBR </w:t>
      </w:r>
      <w:r w:rsidR="0006202A">
        <w:rPr>
          <w:rFonts w:ascii="Times New Roman" w:eastAsia="Times New Roman" w:hAnsi="Times New Roman" w:cs="Times New Roman"/>
        </w:rPr>
        <w:t xml:space="preserve">has started working on typhoid, pneumococcal, rubella, </w:t>
      </w:r>
      <w:proofErr w:type="spellStart"/>
      <w:r w:rsidR="0006202A">
        <w:rPr>
          <w:rFonts w:ascii="Times New Roman" w:eastAsia="Times New Roman" w:hAnsi="Times New Roman" w:cs="Times New Roman"/>
        </w:rPr>
        <w:t>pertussis</w:t>
      </w:r>
      <w:proofErr w:type="spellEnd"/>
      <w:r w:rsidR="0006202A">
        <w:rPr>
          <w:rFonts w:ascii="Times New Roman" w:eastAsia="Times New Roman" w:hAnsi="Times New Roman" w:cs="Times New Roman"/>
        </w:rPr>
        <w:t xml:space="preserve">, and rotavirus. </w:t>
      </w:r>
    </w:p>
    <w:p w:rsidR="0005183B" w:rsidRPr="00DA5DEB" w:rsidRDefault="0005183B" w:rsidP="0005183B">
      <w:pPr>
        <w:rPr>
          <w:rFonts w:ascii="Times New Roman" w:hAnsi="Times New Roman" w:cs="Times New Roman"/>
          <w:b/>
        </w:rPr>
      </w:pPr>
      <w:r w:rsidRPr="00DA5DEB">
        <w:rPr>
          <w:rFonts w:ascii="Times New Roman" w:hAnsi="Times New Roman" w:cs="Times New Roman"/>
          <w:b/>
        </w:rPr>
        <w:t>Conflicts of Interest issues:</w:t>
      </w:r>
    </w:p>
    <w:p w:rsidR="0005183B" w:rsidRPr="0006202A" w:rsidRDefault="0005183B" w:rsidP="00051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IAP ACVIP is very sincerely addressing the issues pertaining to conflicts of interest. New forms with more stringent clauses are formed, self-declarations on </w:t>
      </w:r>
      <w:proofErr w:type="spellStart"/>
      <w:r>
        <w:rPr>
          <w:rFonts w:ascii="Times New Roman" w:hAnsi="Times New Roman" w:cs="Times New Roman"/>
        </w:rPr>
        <w:t>CoI</w:t>
      </w:r>
      <w:proofErr w:type="spellEnd"/>
      <w:r>
        <w:rPr>
          <w:rFonts w:ascii="Times New Roman" w:hAnsi="Times New Roman" w:cs="Times New Roman"/>
        </w:rPr>
        <w:t xml:space="preserve"> are obtained in advance before each meeting </w:t>
      </w:r>
      <w:r w:rsidRPr="0006202A">
        <w:rPr>
          <w:rFonts w:ascii="Times New Roman" w:hAnsi="Times New Roman" w:cs="Times New Roman"/>
        </w:rPr>
        <w:t>from each and every member, OBs, and consultants, the forms are scrutinized in detail by a special three-member subcommittee comprising of Drs HPS Sachdev, A.K. Patwari, and Sashi Vani</w:t>
      </w:r>
      <w:r w:rsidR="0006202A" w:rsidRPr="0006202A">
        <w:rPr>
          <w:rFonts w:ascii="Times New Roman" w:hAnsi="Times New Roman" w:cs="Times New Roman"/>
        </w:rPr>
        <w:t xml:space="preserve">. Based on the discussion in the </w:t>
      </w:r>
      <w:r w:rsidR="0006202A">
        <w:rPr>
          <w:rFonts w:ascii="Times New Roman" w:hAnsi="Times New Roman" w:cs="Times New Roman"/>
        </w:rPr>
        <w:t>A</w:t>
      </w:r>
      <w:r w:rsidR="0006202A" w:rsidRPr="0006202A">
        <w:rPr>
          <w:rFonts w:ascii="Times New Roman" w:hAnsi="Times New Roman" w:cs="Times New Roman"/>
        </w:rPr>
        <w:t>pril meeting of the committee, the revised DECLARATION OF CONFLICT OF INTERESTS FOR</w:t>
      </w:r>
      <w:r w:rsidR="0006202A">
        <w:rPr>
          <w:rFonts w:ascii="Times New Roman" w:hAnsi="Times New Roman" w:cs="Times New Roman"/>
        </w:rPr>
        <w:t>M is attached for the approval by the EB (Appendix 3).</w:t>
      </w:r>
      <w:r w:rsidR="0006202A" w:rsidRPr="0006202A">
        <w:rPr>
          <w:rFonts w:ascii="Times New Roman" w:hAnsi="Times New Roman" w:cs="Times New Roman"/>
        </w:rPr>
        <w:t xml:space="preserve"> </w:t>
      </w:r>
      <w:r w:rsidRPr="0006202A">
        <w:rPr>
          <w:rFonts w:ascii="Times New Roman" w:hAnsi="Times New Roman" w:cs="Times New Roman"/>
        </w:rPr>
        <w:t xml:space="preserve">  </w:t>
      </w:r>
    </w:p>
    <w:p w:rsidR="00286F8D" w:rsidRDefault="00286F8D" w:rsidP="00286F8D">
      <w:pPr>
        <w:jc w:val="right"/>
      </w:pPr>
    </w:p>
    <w:p w:rsidR="00286F8D" w:rsidRDefault="00286F8D" w:rsidP="00286F8D">
      <w:pPr>
        <w:jc w:val="right"/>
      </w:pPr>
      <w:r>
        <w:rPr>
          <w:rFonts w:ascii="Verdana" w:hAnsi="Verdana"/>
          <w:noProof/>
          <w:color w:val="990000"/>
          <w:sz w:val="18"/>
          <w:szCs w:val="18"/>
        </w:rPr>
        <w:drawing>
          <wp:inline distT="0" distB="0" distL="0" distR="0">
            <wp:extent cx="1049379" cy="438150"/>
            <wp:effectExtent l="19050" t="0" r="0" b="0"/>
            <wp:docPr id="6" name="Picture 6" descr="http://www.pediascene.com/pedia_new/archive/mar-jun-2004/images/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diascene.com/pedia_new/archive/mar-jun-2004/images/s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4" cy="43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EE" w:rsidRDefault="00286F8D" w:rsidP="00286F8D">
      <w:pPr>
        <w:jc w:val="right"/>
      </w:pPr>
      <w:r>
        <w:t>(Vipin M. Vashishtha),</w:t>
      </w:r>
    </w:p>
    <w:p w:rsidR="00286F8D" w:rsidRDefault="00286F8D" w:rsidP="00286F8D">
      <w:pPr>
        <w:jc w:val="right"/>
      </w:pPr>
      <w:r>
        <w:t>Convener, IAP ACVIP 2013-14</w:t>
      </w:r>
    </w:p>
    <w:p w:rsidR="00286F8D" w:rsidRPr="0006202A" w:rsidRDefault="00286F8D" w:rsidP="00286F8D">
      <w:pPr>
        <w:jc w:val="right"/>
      </w:pPr>
      <w:r>
        <w:t xml:space="preserve">May 24, 2014, </w:t>
      </w:r>
      <w:proofErr w:type="spellStart"/>
      <w:r>
        <w:t>Bijnor</w:t>
      </w:r>
      <w:proofErr w:type="spellEnd"/>
    </w:p>
    <w:sectPr w:rsidR="00286F8D" w:rsidRPr="0006202A" w:rsidSect="00E5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7F2"/>
    <w:multiLevelType w:val="hybridMultilevel"/>
    <w:tmpl w:val="A5C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712C"/>
    <w:multiLevelType w:val="hybridMultilevel"/>
    <w:tmpl w:val="E97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6BD9"/>
    <w:multiLevelType w:val="hybridMultilevel"/>
    <w:tmpl w:val="2AC078C2"/>
    <w:lvl w:ilvl="0" w:tplc="12F80E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7DD8"/>
    <w:multiLevelType w:val="hybridMultilevel"/>
    <w:tmpl w:val="3EBC0D6C"/>
    <w:lvl w:ilvl="0" w:tplc="59BCFA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04093"/>
    <w:multiLevelType w:val="hybridMultilevel"/>
    <w:tmpl w:val="0250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5582"/>
    <w:multiLevelType w:val="hybridMultilevel"/>
    <w:tmpl w:val="45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83B"/>
    <w:rsid w:val="00032583"/>
    <w:rsid w:val="0005183B"/>
    <w:rsid w:val="0006202A"/>
    <w:rsid w:val="00165CD4"/>
    <w:rsid w:val="00286F8D"/>
    <w:rsid w:val="004A46FE"/>
    <w:rsid w:val="004A4736"/>
    <w:rsid w:val="004F6696"/>
    <w:rsid w:val="00813A17"/>
    <w:rsid w:val="00AE29AA"/>
    <w:rsid w:val="00F3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4</cp:revision>
  <dcterms:created xsi:type="dcterms:W3CDTF">2014-05-24T03:58:00Z</dcterms:created>
  <dcterms:modified xsi:type="dcterms:W3CDTF">2014-05-24T04:31:00Z</dcterms:modified>
</cp:coreProperties>
</file>